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542039">
      <w:pPr>
        <w:pStyle w:val="Nagwek1"/>
      </w:pPr>
      <w:r>
        <w:t xml:space="preserve">Załącznik nr 4 do </w:t>
      </w:r>
      <w:r w:rsidRPr="00542039">
        <w:t>Zapytania</w:t>
      </w:r>
      <w:r>
        <w:t xml:space="preserve"> ofertowego</w:t>
      </w:r>
    </w:p>
    <w:p w14:paraId="4559BF59" w14:textId="77777777" w:rsidR="00542039" w:rsidRPr="00542039" w:rsidRDefault="00542039" w:rsidP="00542039">
      <w:pPr>
        <w:pStyle w:val="Nagwek2"/>
        <w:rPr>
          <w:rFonts w:eastAsia="SimSun"/>
        </w:rPr>
      </w:pPr>
      <w:r>
        <w:t>Wzór umowy</w:t>
      </w:r>
    </w:p>
    <w:p w14:paraId="23F23FCF" w14:textId="1F0E8071" w:rsidR="00527B7C" w:rsidRDefault="002829ED" w:rsidP="00542039">
      <w:r>
        <w:t>Umowa nr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A6EA77" w14:textId="41CB7604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  <w:r w:rsidR="004D454C">
        <w:rPr>
          <w:rFonts w:eastAsia="Calibri"/>
        </w:rPr>
        <w:t xml:space="preserve"> </w:t>
      </w: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C971011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542039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67F21AC5" w:rsidR="00527B7C" w:rsidRDefault="00527B7C" w:rsidP="00542039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>
        <w:br/>
        <w:t>z zastrzeżeniem, że dostawy będą realizowane w okresach przebywania dzieci i młodzieży w szkole.</w:t>
      </w:r>
    </w:p>
    <w:p w14:paraId="5E413F7F" w14:textId="5574CCBB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4D454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14:paraId="082DD9BC" w14:textId="0A991F12" w:rsidR="00527B7C" w:rsidRDefault="00527B7C" w:rsidP="00542039">
      <w:pPr>
        <w:pStyle w:val="Nagwek3"/>
        <w:rPr>
          <w:lang w:eastAsia="en-US" w:bidi="en-US"/>
        </w:rPr>
      </w:pPr>
    </w:p>
    <w:p w14:paraId="6206B8AB" w14:textId="3A1EF68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</w:t>
      </w:r>
      <w:r>
        <w:rPr>
          <w:rFonts w:eastAsia="Lucida Sans Unicode"/>
          <w:color w:val="000000"/>
          <w:lang w:eastAsia="en-US" w:bidi="en-US"/>
        </w:rPr>
        <w:lastRenderedPageBreak/>
        <w:t xml:space="preserve">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59FAB0D3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46D3700B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A0CACC9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0D5FB947" w14:textId="77777777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>
        <w:rPr>
          <w:rFonts w:eastAsia="Lucida Sans Unicode"/>
          <w:color w:val="000000"/>
          <w:lang w:eastAsia="en-US" w:bidi="en-US"/>
        </w:rPr>
        <w:br/>
        <w:t>w zakresie dotyczącym realizacji umowy jest:</w:t>
      </w:r>
    </w:p>
    <w:p w14:paraId="2C538A9F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1BF9C796" w14:textId="396B7DEA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powierzeniu jej danych osobowych (imienia i nazwiska) Zamawiającemu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i o </w:t>
      </w:r>
      <w:r>
        <w:rPr>
          <w:rFonts w:eastAsia="Lucida Sans Unicode"/>
          <w:color w:val="000000"/>
          <w:lang w:eastAsia="en-US" w:bidi="en-US"/>
        </w:rPr>
        <w:lastRenderedPageBreak/>
        <w:t>przetwarzaniu tych danych (w szczególności poprzez przechowywanie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4C21FBF4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>Wykonawca przy wykonywaniu umowy zobowiązany jest do stosowania wszelkich środków mających na celu zapobieganie rozprzestrzenianiu się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 w:rsidRPr="00542039">
        <w:rPr>
          <w:rFonts w:eastAsia="Lucida Sans Unicode"/>
          <w:color w:val="000000"/>
          <w:lang w:eastAsia="en-US" w:bidi="en-US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4ECB8E17" w:rsidR="00527B7C" w:rsidRDefault="00527B7C" w:rsidP="00542039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689097DF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542039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E37BBC9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3F18BDA0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542039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Pr="00542039">
        <w:rPr>
          <w:rFonts w:eastAsia="Lucida Sans Unicode"/>
          <w:b/>
          <w:color w:val="000000"/>
          <w:lang w:eastAsia="en-US" w:bidi="en-US"/>
        </w:rPr>
        <w:t>opisie przedmiotu zamówienia</w:t>
      </w:r>
      <w:r w:rsidRPr="00542039"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3EA36F5F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z rozładunkiem i 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lastRenderedPageBreak/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1F1ECE8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1490DBD7" w:rsidR="00527B7C" w:rsidRDefault="00527B7C" w:rsidP="00542039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0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0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24DFFF9A" w:rsidR="00527B7C" w:rsidRDefault="00527B7C" w:rsidP="00542039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Przy wystawianiu faktury należy zastosować następujące dane identyfikacyjne:</w:t>
      </w:r>
    </w:p>
    <w:p w14:paraId="100AB316" w14:textId="77777777" w:rsidR="00527B7C" w:rsidRDefault="002829ED" w:rsidP="00542039">
      <w:pPr>
        <w:ind w:left="426"/>
      </w:pPr>
      <w:r>
        <w:t>Nabywca:</w:t>
      </w:r>
    </w:p>
    <w:p w14:paraId="05850486" w14:textId="77777777" w:rsidR="00527B7C" w:rsidRDefault="002829ED" w:rsidP="00542039">
      <w:pPr>
        <w:ind w:left="426"/>
      </w:pPr>
      <w:r>
        <w:t>Miasto Piotrków Trybunalski</w:t>
      </w:r>
    </w:p>
    <w:p w14:paraId="5B0B3EA0" w14:textId="77777777" w:rsidR="00527B7C" w:rsidRDefault="002829ED" w:rsidP="00542039">
      <w:pPr>
        <w:ind w:left="426"/>
      </w:pPr>
      <w:r>
        <w:t>Pasaż Karola Rudowskiego 10</w:t>
      </w:r>
    </w:p>
    <w:p w14:paraId="596E77EF" w14:textId="77777777" w:rsidR="00527B7C" w:rsidRDefault="002829ED" w:rsidP="00542039">
      <w:pPr>
        <w:ind w:left="426"/>
      </w:pPr>
      <w:r>
        <w:t>97-300 Piotrków Trybunalski</w:t>
      </w:r>
    </w:p>
    <w:p w14:paraId="7DFBF6AB" w14:textId="77777777" w:rsidR="00527B7C" w:rsidRDefault="002829ED" w:rsidP="00542039">
      <w:pPr>
        <w:ind w:left="426"/>
      </w:pPr>
      <w:r>
        <w:t>NIP: 771-27-98-771</w:t>
      </w:r>
    </w:p>
    <w:p w14:paraId="4632FF13" w14:textId="77777777" w:rsidR="00527B7C" w:rsidRDefault="002829ED" w:rsidP="00542039">
      <w:pPr>
        <w:spacing w:before="240"/>
        <w:ind w:left="426"/>
      </w:pPr>
      <w:r>
        <w:t>Odbiorca:</w:t>
      </w:r>
    </w:p>
    <w:p w14:paraId="2D70469B" w14:textId="77777777" w:rsidR="00527B7C" w:rsidRDefault="002829ED" w:rsidP="00542039">
      <w:pPr>
        <w:ind w:left="426"/>
      </w:pPr>
      <w:r>
        <w:t>Szkoła Podstawowa nr 12 im. K. Makuszyńskiego</w:t>
      </w:r>
    </w:p>
    <w:p w14:paraId="475185D2" w14:textId="77777777" w:rsidR="00527B7C" w:rsidRDefault="002829ED" w:rsidP="00542039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542039">
      <w:pPr>
        <w:ind w:left="426"/>
      </w:pPr>
      <w:r>
        <w:t>97-300 Piotrków Trybunalski</w:t>
      </w:r>
    </w:p>
    <w:p w14:paraId="75BE0F59" w14:textId="642DCA1D" w:rsidR="00527B7C" w:rsidRDefault="00527B7C" w:rsidP="00542039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13A0836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68F7FE5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</w:t>
      </w:r>
      <w:r w:rsidR="00542039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0CE5F986" w:rsidR="00527B7C" w:rsidRDefault="00527B7C" w:rsidP="00542039">
      <w:pPr>
        <w:pStyle w:val="Nagwek3"/>
        <w:rPr>
          <w:lang w:eastAsia="en-US" w:bidi="en-US"/>
        </w:rPr>
      </w:pPr>
    </w:p>
    <w:p w14:paraId="637B1621" w14:textId="053BEBC2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Odstąpienie od umowy powinno nastąpić w formie pisemnej pod rygorem nieważności i </w:t>
      </w:r>
      <w:r>
        <w:rPr>
          <w:rFonts w:eastAsia="Lucida Sans Unicode"/>
          <w:color w:val="000000"/>
          <w:lang w:eastAsia="en-US" w:bidi="en-US"/>
        </w:rPr>
        <w:lastRenderedPageBreak/>
        <w:t>powinno zawierać uzasadnienie.</w:t>
      </w:r>
    </w:p>
    <w:p w14:paraId="7CC6B7BB" w14:textId="2ACBC1B6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65D33FF4" w:rsidR="00527B7C" w:rsidRDefault="00527B7C" w:rsidP="00542039">
      <w:pPr>
        <w:pStyle w:val="Nagwek3"/>
        <w:rPr>
          <w:lang w:eastAsia="en-US" w:bidi="en-US"/>
        </w:rPr>
      </w:pPr>
    </w:p>
    <w:p w14:paraId="46B5E52F" w14:textId="3B7BD5DD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59942C59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64CE628D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2669FD54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7ABB972B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sposób nie w pełni odpowiadający warunkom umowy,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558B31A5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08B7C338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tytułu 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29DE0F4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Uprawnienia powyższe nie obowiązują w okresie ogłoszenia stanu zagrożenia </w:t>
      </w:r>
      <w:r>
        <w:rPr>
          <w:rFonts w:eastAsia="Calibri"/>
        </w:rPr>
        <w:lastRenderedPageBreak/>
        <w:t>epidemicznego albo stanu epidemii w związku z Covid-19 i przez 90 dni od dnia odwołania stanu, który obowiązywał jako ostatni, o ile zdarzenie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6B784445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1128AFB5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 naliczenia kar umownych powyżej 5</w:t>
      </w:r>
      <w:r w:rsidR="004D454C">
        <w:rPr>
          <w:rFonts w:eastAsia="Calibri"/>
        </w:rPr>
        <w:t>0 % kwoty brutto określonej w §</w:t>
      </w:r>
      <w:bookmarkStart w:id="1" w:name="_GoBack"/>
      <w:bookmarkEnd w:id="1"/>
      <w:r>
        <w:rPr>
          <w:rFonts w:eastAsia="Calibri"/>
        </w:rPr>
        <w:t>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nie ogranicza możliwości dochodzenia przez Zamawiającego kar umownych.</w:t>
      </w:r>
    </w:p>
    <w:p w14:paraId="3A1727F4" w14:textId="7FDFFC94" w:rsidR="00527B7C" w:rsidRDefault="00527B7C" w:rsidP="00542039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78A4246C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542039">
        <w:t xml:space="preserve"> </w:t>
      </w:r>
      <w:r>
        <w:t xml:space="preserve">lub obniżkę) ceny, 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0C541AF4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lastRenderedPageBreak/>
        <w:t>w zakresie cen jednostkowych brutto zawartych w formularzu asortymentowo-cenowym w przypadku ustawowej zmiany stawki VAT;</w:t>
      </w:r>
      <w:r w:rsidR="00542039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2D475663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5D55B6"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71364F32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5D55B6">
        <w:t xml:space="preserve"> </w:t>
      </w:r>
      <w:r>
        <w:t>za cenę nie wyższą niż cena produktu objętego umową,</w:t>
      </w:r>
    </w:p>
    <w:p w14:paraId="78F0B675" w14:textId="679407C6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5D55B6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wskazanych w umowie osób nadzorujących realizację przedmiotu 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28BBE6C8" w:rsidR="00527B7C" w:rsidRDefault="00527B7C" w:rsidP="005D55B6">
      <w:pPr>
        <w:pStyle w:val="Nagwek3"/>
      </w:pPr>
    </w:p>
    <w:p w14:paraId="7C8619DE" w14:textId="22BCBEFC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5D55B6">
        <w:rPr>
          <w:rFonts w:eastAsia="Calibri"/>
        </w:rPr>
        <w:t xml:space="preserve"> </w:t>
      </w:r>
      <w:r>
        <w:rPr>
          <w:rFonts w:eastAsia="Calibri"/>
        </w:rPr>
        <w:t xml:space="preserve">i art. 14 rozporządzenia Parlamentu Europejskiego i Rady (UE) 2016/679 z dnia 27 kwietnia 2016 roku w sprawie ochrony osób fizycznych w związku z przetwarzaniem danych osobowych i w sprawie swobodnego przepływu takich danych oraz uchylenia dyrektywy 95/46/WE (ogólne </w:t>
      </w:r>
      <w:r>
        <w:rPr>
          <w:rFonts w:eastAsia="Calibri"/>
        </w:rPr>
        <w:lastRenderedPageBreak/>
        <w:t>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3DF787F6" w:rsidR="00527B7C" w:rsidRDefault="00527B7C" w:rsidP="005D55B6">
      <w:pPr>
        <w:pStyle w:val="Nagwek3"/>
      </w:pPr>
    </w:p>
    <w:p w14:paraId="4320F0FB" w14:textId="77777777" w:rsidR="00527B7C" w:rsidRPr="005D55B6" w:rsidRDefault="002829ED" w:rsidP="005D55B6">
      <w:pPr>
        <w:numPr>
          <w:ilvl w:val="0"/>
          <w:numId w:val="17"/>
        </w:numPr>
        <w:ind w:left="357" w:hanging="357"/>
      </w:pPr>
      <w:r w:rsidRPr="005D55B6"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7E15889E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5D55B6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</w:p>
    <w:p w14:paraId="75CE54C4" w14:textId="77777777" w:rsidR="00527B7C" w:rsidRPr="005D55B6" w:rsidRDefault="002829ED" w:rsidP="005D55B6">
      <w:pPr>
        <w:pStyle w:val="Akapitzlist"/>
        <w:numPr>
          <w:ilvl w:val="0"/>
          <w:numId w:val="20"/>
        </w:numPr>
        <w:rPr>
          <w:sz w:val="24"/>
        </w:rPr>
      </w:pPr>
      <w:r w:rsidRPr="005D55B6">
        <w:rPr>
          <w:sz w:val="24"/>
        </w:rPr>
        <w:t xml:space="preserve">Załącznik nr 1 - </w:t>
      </w:r>
      <w:r w:rsidRPr="005D55B6">
        <w:rPr>
          <w:rFonts w:eastAsia="Lucida Sans Unicode"/>
          <w:color w:val="000000"/>
          <w:sz w:val="24"/>
          <w:lang w:eastAsia="en-US" w:bidi="en-US"/>
        </w:rPr>
        <w:t>opis przedmiotu zamówienia</w:t>
      </w:r>
    </w:p>
    <w:p w14:paraId="0796DDDD" w14:textId="77777777" w:rsidR="00527B7C" w:rsidRPr="005D55B6" w:rsidRDefault="002829ED" w:rsidP="005D55B6">
      <w:pPr>
        <w:pStyle w:val="Akapitzlist"/>
        <w:numPr>
          <w:ilvl w:val="0"/>
          <w:numId w:val="20"/>
        </w:numPr>
        <w:spacing w:after="567"/>
        <w:rPr>
          <w:sz w:val="24"/>
        </w:rPr>
      </w:pPr>
      <w:r w:rsidRPr="005D55B6">
        <w:rPr>
          <w:rFonts w:eastAsia="Lucida Sans Unicode"/>
          <w:color w:val="000000"/>
          <w:sz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tab/>
      </w:r>
    </w:p>
    <w:p w14:paraId="01D0DD81" w14:textId="77777777" w:rsidR="00527B7C" w:rsidRDefault="002829ED">
      <w:r>
        <w:t>Wykonawca</w:t>
      </w:r>
    </w:p>
    <w:sectPr w:rsidR="00527B7C" w:rsidSect="005D55B6">
      <w:pgSz w:w="11906" w:h="16838"/>
      <w:pgMar w:top="1021" w:right="1418" w:bottom="851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629"/>
    <w:multiLevelType w:val="hybridMultilevel"/>
    <w:tmpl w:val="8B6C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DF62A4"/>
    <w:multiLevelType w:val="hybridMultilevel"/>
    <w:tmpl w:val="F7ECA392"/>
    <w:lvl w:ilvl="0" w:tplc="7A3A6D7E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2829ED"/>
    <w:rsid w:val="004D454C"/>
    <w:rsid w:val="00527B7C"/>
    <w:rsid w:val="00542039"/>
    <w:rsid w:val="005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39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542039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3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39"/>
    <w:pPr>
      <w:keepNext/>
      <w:keepLines/>
      <w:numPr>
        <w:numId w:val="19"/>
      </w:numPr>
      <w:spacing w:before="120" w:after="120"/>
      <w:ind w:left="0" w:firstLine="0"/>
      <w:outlineLvl w:val="2"/>
    </w:pPr>
    <w:rPr>
      <w:rFonts w:asciiTheme="majorHAnsi" w:eastAsiaTheme="majorEastAsia" w:hAnsiTheme="majorHAnsi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2039"/>
    <w:rPr>
      <w:rFonts w:asciiTheme="majorHAnsi" w:eastAsiaTheme="majorEastAsia" w:hAnsiTheme="maj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542039"/>
    <w:rPr>
      <w:rFonts w:asciiTheme="majorHAnsi" w:eastAsiaTheme="majorEastAsia" w:hAnsiTheme="maj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Konto Microsoft</cp:lastModifiedBy>
  <cp:revision>18</cp:revision>
  <cp:lastPrinted>1995-11-21T15:41:00Z</cp:lastPrinted>
  <dcterms:created xsi:type="dcterms:W3CDTF">2023-08-16T15:07:00Z</dcterms:created>
  <dcterms:modified xsi:type="dcterms:W3CDTF">2023-11-22T16:03:00Z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