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B64720" w14:textId="77777777" w:rsidR="00EC45B1" w:rsidRDefault="00D578AF" w:rsidP="00A230DE">
      <w:pPr>
        <w:pStyle w:val="Nagwek1"/>
      </w:pPr>
      <w:r>
        <w:t>Załącznik nr 1 do zapytania ofertowego i do umowy</w:t>
      </w:r>
    </w:p>
    <w:p w14:paraId="5DD35F01" w14:textId="77777777" w:rsidR="00EC45B1" w:rsidRDefault="00D578AF" w:rsidP="00A230DE">
      <w:pPr>
        <w:pStyle w:val="Nagwek2"/>
      </w:pPr>
      <w:r>
        <w:t>Opis przedmiotu zam</w:t>
      </w:r>
      <w:bookmarkStart w:id="0" w:name="_GoBack"/>
      <w:bookmarkEnd w:id="0"/>
      <w:r>
        <w:t>ówienia</w:t>
      </w:r>
    </w:p>
    <w:p w14:paraId="10F0950A" w14:textId="77777777" w:rsidR="00EC45B1" w:rsidRDefault="00D578AF">
      <w:r>
        <w:t xml:space="preserve">Przedmiotem zamówienia jest dostawa </w:t>
      </w:r>
      <w:r>
        <w:rPr>
          <w:b/>
          <w:bCs/>
        </w:rPr>
        <w:t>nabiału i jaj</w:t>
      </w:r>
      <w:r>
        <w:t xml:space="preserve"> dla Szkoły Podstawowej nr 12 im. K. Makuszyńskiego w Piotrkowie Trybunalskim.</w:t>
      </w:r>
    </w:p>
    <w:p w14:paraId="789254C8" w14:textId="77777777" w:rsidR="00EC45B1" w:rsidRDefault="00D578AF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Kod CPV:</w:t>
      </w:r>
    </w:p>
    <w:p w14:paraId="20CB66AF" w14:textId="77777777" w:rsidR="00EC45B1" w:rsidRDefault="00D578AF">
      <w:pPr>
        <w:spacing w:after="0"/>
      </w:pPr>
      <w:r>
        <w:t xml:space="preserve">15500000-3 Produkty mleczarskie </w:t>
      </w:r>
    </w:p>
    <w:p w14:paraId="362EFBF3" w14:textId="77777777" w:rsidR="00EC45B1" w:rsidRDefault="00D578AF">
      <w:pPr>
        <w:spacing w:after="0"/>
      </w:pPr>
      <w:r>
        <w:t>dodatkowe</w:t>
      </w:r>
    </w:p>
    <w:p w14:paraId="438471D8" w14:textId="77777777" w:rsidR="00EC45B1" w:rsidRDefault="00D578AF">
      <w:pPr>
        <w:spacing w:after="0"/>
      </w:pPr>
      <w:r>
        <w:t>15510000-6 - Mleko i śmietana</w:t>
      </w:r>
    </w:p>
    <w:p w14:paraId="4B1039C5" w14:textId="77777777" w:rsidR="00EC45B1" w:rsidRDefault="00D578AF">
      <w:pPr>
        <w:spacing w:after="0"/>
      </w:pPr>
      <w:r>
        <w:t>15550000-5 – Jogurt i pozostałe przefermentowane przetwory mleczne</w:t>
      </w:r>
    </w:p>
    <w:p w14:paraId="48850D49" w14:textId="77777777" w:rsidR="00EC45B1" w:rsidRDefault="00D578AF">
      <w:pPr>
        <w:spacing w:after="0"/>
      </w:pPr>
      <w:r>
        <w:t>15540000-5 - Produkty serowarskie</w:t>
      </w:r>
    </w:p>
    <w:p w14:paraId="335B97BD" w14:textId="77777777" w:rsidR="00EC45B1" w:rsidRDefault="00D578AF">
      <w:pPr>
        <w:spacing w:after="0"/>
      </w:pPr>
      <w:r>
        <w:t>03142500-3 - Jaja</w:t>
      </w:r>
    </w:p>
    <w:p w14:paraId="5BD90EEA" w14:textId="77777777" w:rsidR="00EC45B1" w:rsidRDefault="00D578AF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311E1E5F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produktowe:</w:t>
      </w:r>
    </w:p>
    <w:p w14:paraId="6B7FE38C" w14:textId="15EABF1B" w:rsidR="00EC45B1" w:rsidRDefault="00D578AF">
      <w:pPr>
        <w:numPr>
          <w:ilvl w:val="0"/>
          <w:numId w:val="3"/>
        </w:numPr>
        <w:spacing w:after="0"/>
      </w:pPr>
      <w:r>
        <w:t>produkty mleczarskie cechować ma świeżość, dobry smak po otwarciu produktów, niezbrylone sery naturalne, gęste jogurty,</w:t>
      </w:r>
    </w:p>
    <w:p w14:paraId="2449652D" w14:textId="77777777" w:rsidR="00EC45B1" w:rsidRDefault="00D578AF">
      <w:pPr>
        <w:numPr>
          <w:ilvl w:val="0"/>
          <w:numId w:val="3"/>
        </w:numPr>
        <w:spacing w:after="0"/>
      </w:pPr>
      <w:r>
        <w:t>termin przydatności produktów do spożycia ma być:</w:t>
      </w:r>
    </w:p>
    <w:p w14:paraId="2EBB37CE" w14:textId="77777777" w:rsidR="00EC45B1" w:rsidRDefault="00D578AF">
      <w:pPr>
        <w:numPr>
          <w:ilvl w:val="1"/>
          <w:numId w:val="4"/>
        </w:numPr>
        <w:spacing w:after="0"/>
      </w:pPr>
      <w:r>
        <w:t>nie krótszy niż 14 dni od dnia dostawy do Zamawiającego dla produktów: twarogi, kefir maślanka,</w:t>
      </w:r>
    </w:p>
    <w:p w14:paraId="5F58A61D" w14:textId="77777777" w:rsidR="00EC45B1" w:rsidRDefault="00D578AF">
      <w:pPr>
        <w:pStyle w:val="Akapitzlist"/>
        <w:numPr>
          <w:ilvl w:val="1"/>
          <w:numId w:val="4"/>
        </w:numPr>
        <w:spacing w:after="0"/>
      </w:pPr>
      <w:r>
        <w:t>nie krótszy niż 21 dni od daty dostawy dla następujących produktów: masło, jogurty, śmietany, sery żółte, serki twarogowe do smarowania, pozostałe sery</w:t>
      </w:r>
    </w:p>
    <w:p w14:paraId="66E97CED" w14:textId="74BFBAD3" w:rsidR="00EC45B1" w:rsidRDefault="00D578AF">
      <w:pPr>
        <w:pStyle w:val="Akapitzlist"/>
        <w:numPr>
          <w:ilvl w:val="1"/>
          <w:numId w:val="4"/>
        </w:numPr>
        <w:spacing w:after="0"/>
      </w:pPr>
      <w:r>
        <w:t>nie krótszy niż 4 miesiące od daty dostawy dla następujących produktów: mleko krowie, mleko sojowe, ser topiony, masło klarowane,</w:t>
      </w:r>
    </w:p>
    <w:p w14:paraId="266A7A7F" w14:textId="1284C36B" w:rsidR="00EC45B1" w:rsidRDefault="00D578AF">
      <w:pPr>
        <w:pStyle w:val="Akapitzlist"/>
        <w:numPr>
          <w:ilvl w:val="0"/>
          <w:numId w:val="3"/>
        </w:numPr>
        <w:spacing w:after="0"/>
      </w:pPr>
      <w:r>
        <w:t>jaja świeże, czyste, które nie mają uszkodzonej skorupki,</w:t>
      </w:r>
    </w:p>
    <w:p w14:paraId="5DEA3147" w14:textId="77777777" w:rsidR="00EC45B1" w:rsidRDefault="00D578AF">
      <w:pPr>
        <w:pStyle w:val="Akapitzlist"/>
        <w:numPr>
          <w:ilvl w:val="0"/>
          <w:numId w:val="3"/>
        </w:numPr>
        <w:spacing w:after="0"/>
      </w:pPr>
      <w:r>
        <w:t>jaja konsumpcyjne muszą być oznakowane weterynaryjnym numerem zakładu produkcyjnego. Jaja w dniu dostawy do Zamawiającego nie będą starsze niż 7 dni od daty pakowania.</w:t>
      </w:r>
    </w:p>
    <w:p w14:paraId="7C715425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Zamawiający dopuszcza prawo dokonywania zmian, co do ilości w ramach asortymentu wymienionego w załączniku nr 3 do niniejszego zapytania – pakietu </w:t>
      </w:r>
      <w:r>
        <w:rPr>
          <w:rFonts w:cs="Arial"/>
          <w:szCs w:val="24"/>
        </w:rPr>
        <w:lastRenderedPageBreak/>
        <w:t>asortymentowo-cenowego w zależności od rzeczywistych potrzeb. Zmiany mogą być dokonywane w ramach wartości brutto umowy.</w:t>
      </w:r>
    </w:p>
    <w:p w14:paraId="22B60A1A" w14:textId="7156F855" w:rsidR="00EC45B1" w:rsidRDefault="00D578AF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3CAE4842" w14:textId="00C12DD4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wystąpienia okoliczności niezależnych od Zamawiającego (siła wyższa, w tym pandemia) dopuszcza się zmianę wielkości dostaw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0516EA64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14:paraId="5B2AACB5" w14:textId="5EA32D6F" w:rsidR="00EC45B1" w:rsidRDefault="00D578AF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 xml:space="preserve">Wykonawca dostarczać będzie przedmiot zamówienia </w:t>
      </w:r>
      <w:r>
        <w:rPr>
          <w:rFonts w:cs="Arial"/>
          <w:b/>
          <w:bCs/>
          <w:szCs w:val="24"/>
        </w:rPr>
        <w:t>2</w:t>
      </w:r>
      <w:r>
        <w:rPr>
          <w:rFonts w:cs="Arial"/>
          <w:szCs w:val="24"/>
        </w:rPr>
        <w:t xml:space="preserve"> razy w tygodniu,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w godzinach </w:t>
      </w:r>
      <w:r>
        <w:rPr>
          <w:rFonts w:cs="Arial"/>
          <w:b/>
          <w:bCs/>
          <w:szCs w:val="24"/>
        </w:rPr>
        <w:t>07.00- 08.00</w:t>
      </w:r>
      <w:r>
        <w:rPr>
          <w:rFonts w:cs="Arial"/>
          <w:szCs w:val="24"/>
        </w:rPr>
        <w:t xml:space="preserve"> pod wskazany w pkt. 3 adres Zamawiającego.</w:t>
      </w:r>
    </w:p>
    <w:p w14:paraId="0F30864E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539D1D0D" w14:textId="31640CFB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4D7056D6" w14:textId="0FECBC15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69C024C9" w14:textId="77777777" w:rsidR="00EC45B1" w:rsidRDefault="00D578AF" w:rsidP="00A230DE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dostarczy artykuły żywnościowe zgodnie ze zgłoszonym zapotrzebowaniem.</w:t>
      </w:r>
    </w:p>
    <w:p w14:paraId="0B501315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19F8BADD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z zakresu przedmiotu zamówienia:</w:t>
      </w:r>
    </w:p>
    <w:p w14:paraId="76256688" w14:textId="573B3CE4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każdy produkt winien być wytworzony i dopuszczony do obrotu zgodnie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13DB5CBB" w14:textId="74CEA8B3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ustawy z dnia 25 sierpnia 2006 r. o bezpieczeństwie żywności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61812602" w14:textId="77777777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329BFDC8" w14:textId="0303AE5B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178/2002 Parlamentu Europejskiego i Rady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z dnia 28 stycznia 2002 r. ustanawiającego ogólne zasady i wymagania prawa </w:t>
      </w:r>
      <w:r>
        <w:rPr>
          <w:rFonts w:cs="Arial"/>
          <w:szCs w:val="24"/>
        </w:rPr>
        <w:lastRenderedPageBreak/>
        <w:t>żywnościowego, powołującego Europejski Urząd ds. Bezpieczeństwa Żywności oraz ustanawiającego procedury w zakresie bezpieczeństwa żywności (Dz. U. UE L z 2002 r. Nr 31, poz. 1 ze zm.),</w:t>
      </w:r>
    </w:p>
    <w:p w14:paraId="2563C071" w14:textId="43D8D50E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1935/2004 Parlamentu Europejskiego i Rady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7EDA8045" w14:textId="77777777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1F77D360" w14:textId="6E916B2E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853/2004, Parlamentu Europejskiego i Rady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52F4CA8A" w14:textId="62E1629F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(WE) 854/2004 Parlamentu Europejskiego i Rady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140AE09C" w14:textId="101E48FD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0057774C" w14:textId="5DF6B07B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3688620C" w14:textId="54ADF1BC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>rozporządzenia Parlamentu Europejskiego i Rady (WE) nr 1333/2008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16 grudnia 2008 r. w sprawie dodatków do żywności,</w:t>
      </w:r>
    </w:p>
    <w:p w14:paraId="29262C1F" w14:textId="45F21C2C" w:rsidR="00EC45B1" w:rsidRDefault="00D578AF">
      <w:pPr>
        <w:numPr>
          <w:ilvl w:val="2"/>
          <w:numId w:val="2"/>
        </w:numPr>
        <w:spacing w:after="0"/>
      </w:pPr>
      <w:r>
        <w:rPr>
          <w:rFonts w:cs="Arial"/>
          <w:szCs w:val="24"/>
        </w:rPr>
        <w:t xml:space="preserve">dyrektywami i rozporządzeniem UE w szczególności rozporządzeniem (WE) Nr 852/2004 Parlamentu Europejskiego i Rady z dnia 29 kwietnia 2004 r. w </w:t>
      </w:r>
      <w:r>
        <w:rPr>
          <w:rFonts w:cs="Arial"/>
          <w:szCs w:val="24"/>
        </w:rPr>
        <w:lastRenderedPageBreak/>
        <w:t>sprawie higieny środków spożywczych (Dz. Urz. UE L 139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30.04.2004 r. str. 1; Dz. Urz. UE Polskie Wydanie Specjalne rozdz.1 3, t 34 str. 319),</w:t>
      </w:r>
    </w:p>
    <w:p w14:paraId="3877673F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każdy produkt winien odpowiadać normom jakościowym GHP, GMP</w:t>
      </w:r>
      <w:r>
        <w:rPr>
          <w:rFonts w:cs="Arial"/>
          <w:szCs w:val="24"/>
        </w:rPr>
        <w:br/>
        <w:t>lub systemowi HACCP, zwłaszcza:</w:t>
      </w:r>
    </w:p>
    <w:p w14:paraId="57C0A863" w14:textId="77777777" w:rsidR="00EC45B1" w:rsidRDefault="00D578AF" w:rsidP="00CE42CD">
      <w:pPr>
        <w:numPr>
          <w:ilvl w:val="3"/>
          <w:numId w:val="6"/>
        </w:numPr>
        <w:spacing w:after="0"/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1508C944" w14:textId="77777777" w:rsidR="00EC45B1" w:rsidRDefault="00D578AF" w:rsidP="00CE42CD">
      <w:pPr>
        <w:pStyle w:val="Akapitzlist1"/>
        <w:numPr>
          <w:ilvl w:val="3"/>
          <w:numId w:val="6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0D1DED61" w14:textId="224D17EC" w:rsidR="00EC45B1" w:rsidRDefault="00CE42CD" w:rsidP="00CE42CD">
      <w:pPr>
        <w:pStyle w:val="Akapitzlist1"/>
        <w:numPr>
          <w:ilvl w:val="3"/>
          <w:numId w:val="6"/>
        </w:numPr>
        <w:spacing w:after="0" w:line="360" w:lineRule="auto"/>
        <w:jc w:val="both"/>
      </w:pPr>
      <w:r w:rsidRPr="00CE42CD">
        <w:rPr>
          <w:kern w:val="0"/>
          <w:sz w:val="24"/>
          <w:szCs w:val="24"/>
        </w:rPr>
        <w:t xml:space="preserve">powinien posiadać </w:t>
      </w:r>
      <w:r w:rsidR="00D578AF" w:rsidRPr="00CE42CD">
        <w:rPr>
          <w:sz w:val="24"/>
          <w:szCs w:val="24"/>
        </w:rPr>
        <w:t>odpowiednią</w:t>
      </w:r>
      <w:r w:rsidR="00D578AF">
        <w:rPr>
          <w:sz w:val="24"/>
          <w:szCs w:val="24"/>
        </w:rPr>
        <w:t xml:space="preserve"> temperaturę podczas transportu i warunki sanitarne pojazdu,</w:t>
      </w:r>
    </w:p>
    <w:p w14:paraId="50285424" w14:textId="618FDBC8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każdy dostarczony produkt winien być I klasy, zgodny z Polską Normą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3630C1DE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produktów;</w:t>
      </w:r>
    </w:p>
    <w:p w14:paraId="078A44DB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5E804BEA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7AED3F59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14:paraId="7AA43662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stwierdzenia nieświeżości dostarczonego artykułu;</w:t>
      </w:r>
    </w:p>
    <w:p w14:paraId="08C753F4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innego asortymentu niż zamówiony;</w:t>
      </w:r>
    </w:p>
    <w:p w14:paraId="61EC5EFA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14:paraId="44048485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dostarczenia ilości artykułów niezgodnych z zamówieniem.</w:t>
      </w:r>
    </w:p>
    <w:p w14:paraId="7C5CCB23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Wymagania stawiane Wykonawcy:</w:t>
      </w:r>
    </w:p>
    <w:p w14:paraId="0EEA0257" w14:textId="08AA14BE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całokształt, w tym za przebieg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42688A90" w14:textId="61775E53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odpowiedzialny jest za jakość dostaw, zgodność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3F9890AD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5AF318EF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3B106BBB" w14:textId="72242CAA" w:rsidR="00EC45B1" w:rsidRDefault="00D578AF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lastRenderedPageBreak/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0001B5C9" w14:textId="77777777" w:rsidR="00EC45B1" w:rsidRDefault="00D578AF">
      <w:pPr>
        <w:numPr>
          <w:ilvl w:val="1"/>
          <w:numId w:val="2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5CA7931F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23C3E175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2CAD1B00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07F18C25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589A234F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2C496C8F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Wykonawca po dokonaniu dostawy będzie każdorazowo wystawiał fakturę.</w:t>
      </w:r>
    </w:p>
    <w:p w14:paraId="17D68225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14:paraId="1B4B70E7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38370EE2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14:paraId="3342BA16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21E9AA7F" w14:textId="77777777" w:rsidR="00EC45B1" w:rsidRDefault="00D578AF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14:paraId="1C3E8F13" w14:textId="67033405" w:rsidR="00EC45B1" w:rsidRDefault="00D578AF">
      <w:pPr>
        <w:numPr>
          <w:ilvl w:val="0"/>
          <w:numId w:val="2"/>
        </w:numPr>
      </w:pPr>
      <w:bookmarkStart w:id="1" w:name="__DdeLink__141_3280498585"/>
      <w:r>
        <w:rPr>
          <w:rFonts w:cs="Arial"/>
          <w:szCs w:val="24"/>
        </w:rPr>
        <w:t>Wykonawca zobowiązany jest zrealizować zamówienie na zasadach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A230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zapytania ofertowego.</w:t>
      </w:r>
      <w:bookmarkEnd w:id="1"/>
    </w:p>
    <w:sectPr w:rsidR="00EC45B1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010"/>
    <w:multiLevelType w:val="multilevel"/>
    <w:tmpl w:val="E6DAC0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33154"/>
    <w:multiLevelType w:val="multilevel"/>
    <w:tmpl w:val="1D6C07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311806"/>
    <w:multiLevelType w:val="multilevel"/>
    <w:tmpl w:val="8E92E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74B2A0F"/>
    <w:multiLevelType w:val="multilevel"/>
    <w:tmpl w:val="69CE5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DFD384E"/>
    <w:multiLevelType w:val="multilevel"/>
    <w:tmpl w:val="8040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5" w15:restartNumberingAfterBreak="0">
    <w:nsid w:val="729042DD"/>
    <w:multiLevelType w:val="multilevel"/>
    <w:tmpl w:val="1E5C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B1"/>
    <w:rsid w:val="00A230DE"/>
    <w:rsid w:val="00BA6453"/>
    <w:rsid w:val="00CE42CD"/>
    <w:rsid w:val="00D578AF"/>
    <w:rsid w:val="00EC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76AB"/>
  <w15:docId w15:val="{6D758C63-74E3-430C-B790-6D4B855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0DE"/>
    <w:pPr>
      <w:suppressAutoHyphens/>
      <w:spacing w:after="200" w:line="360" w:lineRule="auto"/>
    </w:pPr>
    <w:rPr>
      <w:rFonts w:asciiTheme="minorHAnsi" w:eastAsia="Calibri" w:hAnsiTheme="minorHAnsi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BA6453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6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323AA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A6453"/>
    <w:rPr>
      <w:rFonts w:asciiTheme="majorHAnsi" w:eastAsiaTheme="majorEastAsia" w:hAnsiTheme="majorHAnsi" w:cstheme="majorBidi"/>
      <w:b/>
      <w:kern w:val="2"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1376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15</cp:revision>
  <cp:lastPrinted>1995-11-21T15:41:00Z</cp:lastPrinted>
  <dcterms:created xsi:type="dcterms:W3CDTF">2023-08-16T12:25:00Z</dcterms:created>
  <dcterms:modified xsi:type="dcterms:W3CDTF">2023-11-21T21:21:00Z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